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5243D" w:rsidRDefault="0055243D">
      <w:pPr>
        <w:pStyle w:val="1"/>
      </w:pPr>
      <w:r>
        <w:fldChar w:fldCharType="begin"/>
      </w:r>
      <w:r>
        <w:instrText>HYPERLINK "garantF1://73584041.0"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Федеральный закон от 1 марта 2020 г. N 33-ФЗ</w:t>
      </w:r>
      <w:r>
        <w:rPr>
          <w:rStyle w:val="a4"/>
          <w:rFonts w:cs="Arial"/>
          <w:b w:val="0"/>
          <w:bCs w:val="0"/>
        </w:rPr>
        <w:br/>
        <w:t>"О внесении изменений в Федеральный закон "О защите конкуренции"</w:t>
      </w:r>
      <w:r>
        <w:fldChar w:fldCharType="end"/>
      </w:r>
    </w:p>
    <w:p w:rsidR="0055243D" w:rsidRDefault="0055243D"/>
    <w:p w:rsidR="0055243D" w:rsidRDefault="0055243D">
      <w:r>
        <w:rPr>
          <w:rStyle w:val="a3"/>
          <w:bCs/>
        </w:rPr>
        <w:t>Принят Государственной Думой 20 февраля 2020 года</w:t>
      </w:r>
    </w:p>
    <w:p w:rsidR="0055243D" w:rsidRDefault="0055243D">
      <w:r>
        <w:rPr>
          <w:rStyle w:val="a3"/>
          <w:bCs/>
        </w:rPr>
        <w:t>Одобрен Советом Федерации 26 февраля 2020 года</w:t>
      </w:r>
    </w:p>
    <w:p w:rsidR="0055243D" w:rsidRDefault="0055243D"/>
    <w:p w:rsidR="0055243D" w:rsidRDefault="0055243D">
      <w:r>
        <w:t xml:space="preserve">Внести в </w:t>
      </w:r>
      <w:hyperlink r:id="rId5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26 июля 2006 года N 135-ФЗ "О защите конкуренции" (Собрание законодательства Российской Федерации, 2006, N 31, ст. 3434; 2009, N 29, ст. 3601; 2011, N 48, ст. 6728; N 50, ст. 7343; 2013, N 30, ст. 4084; N 51, ст. 6695; 2015, N 41, ст. 5629; 2016, N 27, ст. 4197) следующие изменения:</w:t>
      </w:r>
    </w:p>
    <w:p w:rsidR="0055243D" w:rsidRDefault="0055243D">
      <w:bookmarkStart w:id="1" w:name="sub_1"/>
      <w:r>
        <w:t xml:space="preserve">1) </w:t>
      </w:r>
      <w:hyperlink r:id="rId6" w:history="1">
        <w:r>
          <w:rPr>
            <w:rStyle w:val="a4"/>
            <w:rFonts w:cs="Arial"/>
          </w:rPr>
          <w:t>статью 4</w:t>
        </w:r>
      </w:hyperlink>
      <w:r>
        <w:t xml:space="preserve"> дополнить </w:t>
      </w:r>
      <w:hyperlink r:id="rId7" w:history="1">
        <w:r>
          <w:rPr>
            <w:rStyle w:val="a4"/>
            <w:rFonts w:cs="Arial"/>
          </w:rPr>
          <w:t>пунктом 24</w:t>
        </w:r>
      </w:hyperlink>
      <w:r>
        <w:t xml:space="preserve"> следующего содержания:</w:t>
      </w:r>
    </w:p>
    <w:p w:rsidR="0055243D" w:rsidRDefault="0055243D">
      <w:bookmarkStart w:id="2" w:name="sub_4024"/>
      <w:bookmarkEnd w:id="1"/>
      <w:r>
        <w:t xml:space="preserve">"24) </w:t>
      </w:r>
      <w:r>
        <w:rPr>
          <w:rStyle w:val="a3"/>
          <w:bCs/>
        </w:rPr>
        <w:t>система внутреннего обеспечения соответствия требованиям антимонопольного законодательства</w:t>
      </w:r>
      <w:r>
        <w:t xml:space="preserve"> - совокупность правовых и организационных мер, предусмотренных внутренним актом (внутренними актами) хозяйствующего субъекта либо другого лица из числа лиц, входящих в одну группу лиц с этим хозяйствующим субъектом, если такой внутренний акт (внутренние акты) распространяется на этого хозяйствующего субъекта, и направленных на соблюдение им требований антимонопольного законодательства и предупреждение его нарушения.";</w:t>
      </w:r>
    </w:p>
    <w:p w:rsidR="0055243D" w:rsidRDefault="0055243D">
      <w:bookmarkStart w:id="3" w:name="sub_2"/>
      <w:bookmarkEnd w:id="2"/>
      <w:r>
        <w:t xml:space="preserve">2) </w:t>
      </w:r>
      <w:hyperlink r:id="rId8" w:history="1">
        <w:r>
          <w:rPr>
            <w:rStyle w:val="a4"/>
            <w:rFonts w:cs="Arial"/>
          </w:rPr>
          <w:t>главу 1</w:t>
        </w:r>
      </w:hyperlink>
      <w:r>
        <w:t xml:space="preserve"> дополнить </w:t>
      </w:r>
      <w:hyperlink r:id="rId9" w:history="1">
        <w:r>
          <w:rPr>
            <w:rStyle w:val="a4"/>
            <w:rFonts w:cs="Arial"/>
          </w:rPr>
          <w:t>статьей 9.1</w:t>
        </w:r>
      </w:hyperlink>
      <w:r>
        <w:t xml:space="preserve"> следующего содержания:</w:t>
      </w:r>
    </w:p>
    <w:bookmarkEnd w:id="3"/>
    <w:p w:rsidR="0055243D" w:rsidRDefault="0055243D"/>
    <w:p w:rsidR="0055243D" w:rsidRDefault="0055243D">
      <w:pPr>
        <w:pStyle w:val="a5"/>
      </w:pPr>
      <w:bookmarkStart w:id="4" w:name="sub_91"/>
      <w:r>
        <w:t>"</w:t>
      </w:r>
      <w:r>
        <w:rPr>
          <w:rStyle w:val="a3"/>
          <w:bCs/>
        </w:rPr>
        <w:t>Статья 9.1.</w:t>
      </w:r>
      <w:r>
        <w:t xml:space="preserve"> Система внутреннего обеспечения соответствия требованиям антимонопольного законодательства</w:t>
      </w:r>
    </w:p>
    <w:p w:rsidR="0055243D" w:rsidRDefault="0055243D">
      <w:bookmarkStart w:id="5" w:name="sub_9101"/>
      <w:bookmarkEnd w:id="4"/>
      <w:r>
        <w:t>1.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законодательства.</w:t>
      </w:r>
    </w:p>
    <w:p w:rsidR="0055243D" w:rsidRDefault="0055243D">
      <w:bookmarkStart w:id="6" w:name="sub_9102"/>
      <w:bookmarkEnd w:id="5"/>
      <w:r>
        <w:t>2.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(внутренние акты) и (или) применяет иные внутренние акты, в том числе другого лица из числа лиц, входящих в одну группу лиц с этим хозяйствующим субъектом, если такие внутренние акты распространяются на этого хозяйствующего субъекта. Указанные внутренние акты в совокупности должны содержать:</w:t>
      </w:r>
    </w:p>
    <w:p w:rsidR="0055243D" w:rsidRDefault="0055243D">
      <w:bookmarkStart w:id="7" w:name="sub_910201"/>
      <w:bookmarkEnd w:id="6"/>
      <w:r>
        <w:t>1) требования к порядку проведения оценки рисков нарушения антимонопольного законодательства, связанных с осуществлением хозяйствующим субъектом своей деятельности;</w:t>
      </w:r>
    </w:p>
    <w:p w:rsidR="0055243D" w:rsidRDefault="0055243D">
      <w:bookmarkStart w:id="8" w:name="sub_910202"/>
      <w:bookmarkEnd w:id="7"/>
      <w:r>
        <w:t>2) меры, направленные на снижение хозяйствующим субъектом рисков нарушения антимонопольного законодательства, связанных с осуществлением своей деятельности;</w:t>
      </w:r>
    </w:p>
    <w:p w:rsidR="0055243D" w:rsidRDefault="0055243D">
      <w:bookmarkStart w:id="9" w:name="sub_910203"/>
      <w:bookmarkEnd w:id="8"/>
      <w:r>
        <w:t>3) меры,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законодательства;</w:t>
      </w:r>
    </w:p>
    <w:p w:rsidR="0055243D" w:rsidRDefault="0055243D">
      <w:bookmarkStart w:id="10" w:name="sub_910204"/>
      <w:bookmarkEnd w:id="9"/>
      <w:r>
        <w:t>4) порядок ознакомления работников хозяйствующего субъекта с внутренним актом (внутренними актами);</w:t>
      </w:r>
    </w:p>
    <w:p w:rsidR="0055243D" w:rsidRDefault="0055243D">
      <w:bookmarkStart w:id="11" w:name="sub_910205"/>
      <w:bookmarkEnd w:id="10"/>
      <w:r>
        <w:t>5) информацию о должностном лице, ответственном за функционирование системы внутреннего обеспечения соответствия требованиям антимонопольного законодательства.</w:t>
      </w:r>
    </w:p>
    <w:p w:rsidR="0055243D" w:rsidRDefault="0055243D">
      <w:bookmarkStart w:id="12" w:name="sub_9103"/>
      <w:bookmarkEnd w:id="11"/>
      <w:r>
        <w:t>3. При принятии внутреннего акта (внутренних актов), указанного в части 2 настоящей статьи,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законодательства.</w:t>
      </w:r>
    </w:p>
    <w:p w:rsidR="0055243D" w:rsidRDefault="0055243D">
      <w:bookmarkStart w:id="13" w:name="sub_9104"/>
      <w:bookmarkEnd w:id="12"/>
      <w:r>
        <w:t xml:space="preserve">4. Информация о принятии (применении) внутреннего акта (внутренних актов), </w:t>
      </w:r>
      <w:r>
        <w:lastRenderedPageBreak/>
        <w:t>указанного в части 2 настоящей статьи, размещается хозяйствующим субъектом на своем сайте в информационно-телекоммуникационной сети "Интернет". Данная информация размещается на русском языке.</w:t>
      </w:r>
    </w:p>
    <w:p w:rsidR="0055243D" w:rsidRDefault="0055243D">
      <w:bookmarkStart w:id="14" w:name="sub_9105"/>
      <w:bookmarkEnd w:id="13"/>
      <w:r>
        <w:t>5. Хозяйствующий субъект вправе направить в федеральный антимонопольный орган внутренний акт (внутренние акты), указанный в части 2 настоящей статьи, или проект внутреннего акта (проекты внутренних актов) для установления их соответствия требованиям антимонопольного законодательства.</w:t>
      </w:r>
    </w:p>
    <w:p w:rsidR="0055243D" w:rsidRDefault="0055243D">
      <w:bookmarkStart w:id="15" w:name="sub_9106"/>
      <w:bookmarkEnd w:id="14"/>
      <w:r>
        <w:t>6. Федеральный антимонопольный орган в течение тридцати дней рассматривает направленный внутренний акт (внутренние акты), указанный в части 2 настоящей статьи, или проект внутреннего акта (проекты внутренних актов) и дает заключение об их соответствии или несоответствии требованиям антимонопольного законодательства.".</w:t>
      </w:r>
    </w:p>
    <w:bookmarkEnd w:id="15"/>
    <w:p w:rsidR="0055243D" w:rsidRDefault="0055243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1"/>
        <w:gridCol w:w="3301"/>
      </w:tblGrid>
      <w:tr w:rsidR="0055243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5243D" w:rsidRDefault="0055243D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5243D" w:rsidRDefault="0055243D">
            <w:pPr>
              <w:pStyle w:val="a6"/>
              <w:jc w:val="right"/>
            </w:pPr>
            <w:r>
              <w:t>В. Путин</w:t>
            </w:r>
          </w:p>
        </w:tc>
      </w:tr>
    </w:tbl>
    <w:p w:rsidR="0055243D" w:rsidRDefault="0055243D"/>
    <w:p w:rsidR="0055243D" w:rsidRDefault="0055243D">
      <w:pPr>
        <w:pStyle w:val="a7"/>
      </w:pPr>
      <w:r>
        <w:t>Москва, Кремль</w:t>
      </w:r>
    </w:p>
    <w:p w:rsidR="0055243D" w:rsidRDefault="0055243D">
      <w:pPr>
        <w:pStyle w:val="a7"/>
      </w:pPr>
      <w:r>
        <w:t>1 марта 2020 года</w:t>
      </w:r>
    </w:p>
    <w:p w:rsidR="0055243D" w:rsidRDefault="0055243D">
      <w:pPr>
        <w:pStyle w:val="a7"/>
      </w:pPr>
      <w:r>
        <w:t>N 33-ФЗ</w:t>
      </w:r>
    </w:p>
    <w:p w:rsidR="0055243D" w:rsidRDefault="0055243D"/>
    <w:sectPr w:rsidR="0055243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B0"/>
    <w:rsid w:val="0055243D"/>
    <w:rsid w:val="00716650"/>
    <w:rsid w:val="00C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A5E00D-8E29-46C3-AB90-94740F58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сылка на официальную публикацию"/>
    <w:basedOn w:val="a"/>
    <w:next w:val="a"/>
    <w:uiPriority w:val="99"/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1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17.4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17.4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48517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8517.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Олег А. Атласов</cp:lastModifiedBy>
  <cp:revision>2</cp:revision>
  <dcterms:created xsi:type="dcterms:W3CDTF">2021-03-30T11:07:00Z</dcterms:created>
  <dcterms:modified xsi:type="dcterms:W3CDTF">2021-03-30T11:07:00Z</dcterms:modified>
</cp:coreProperties>
</file>